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56"/>
        <w:ind w:left="0" w:right="0" w:firstLine="709"/>
        <w:jc w:val="center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Формирование Заявления в ФГИС ПГС </w:t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Для формирования нового заявления по «Переводу жилог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помещения в нежилое и нежилого помещения в жилое», необходимо открыть ФГИС ПГС, авторизоваться под своей учётной записью и далее перейти в модуль «Перевод жилого помещения в нежилое и нежилого помещения в жилое», выбрав соответствующий блок (Рисунок 1). </w:t>
        <w:br/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440836" cy="1726768"/>
                <wp:effectExtent l="0" t="0" r="0" b="0"/>
                <wp:docPr id="1" name="_x0000_i112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4742868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3440835" cy="17267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270.93pt;height:135.97pt;mso-wrap-distance-left:0.00pt;mso-wrap-distance-top:0.00pt;mso-wrap-distance-right:0.00pt;mso-wrap-distance-bottom:0.00pt;z-index:1;" stroked="f">
                <v:imagedata r:id="rId12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b w:val="0"/>
          <w:bCs w:val="0"/>
          <w:sz w:val="22"/>
          <w:szCs w:val="22"/>
        </w:rPr>
      </w:pPr>
      <w:r>
        <w:rPr>
          <w:rFonts w:ascii="PT Astra Serif" w:hAnsi="PT Astra Serif" w:eastAsia="PT Astra Serif" w:cs="PT Astra Serif"/>
          <w:b w:val="0"/>
          <w:bCs w:val="0"/>
          <w:sz w:val="22"/>
          <w:szCs w:val="22"/>
        </w:rPr>
        <w:t xml:space="preserve">Рисунок 1 – </w:t>
      </w:r>
      <w:r>
        <w:rPr>
          <w:rFonts w:ascii="PT Astra Serif" w:hAnsi="PT Astra Serif" w:eastAsia="PT Astra Serif" w:cs="PT Astra Serif"/>
          <w:b w:val="0"/>
          <w:bCs w:val="0"/>
          <w:sz w:val="22"/>
          <w:szCs w:val="22"/>
        </w:rPr>
        <w:t xml:space="preserve">Выбор </w:t>
      </w:r>
      <w:r>
        <w:rPr>
          <w:rFonts w:ascii="PT Astra Serif" w:hAnsi="PT Astra Serif" w:eastAsia="PT Astra Serif" w:cs="PT Astra Serif"/>
          <w:b w:val="0"/>
          <w:bCs w:val="0"/>
          <w:sz w:val="22"/>
          <w:szCs w:val="22"/>
        </w:rPr>
        <w:t xml:space="preserve">модуля </w:t>
      </w:r>
      <w:r>
        <w:rPr>
          <w:rFonts w:ascii="PT Astra Serif" w:hAnsi="PT Astra Serif" w:eastAsia="PT Astra Serif" w:cs="PT Astra Serif"/>
          <w:b w:val="0"/>
          <w:bCs w:val="0"/>
          <w:sz w:val="22"/>
          <w:szCs w:val="22"/>
        </w:rPr>
        <w:br/>
      </w:r>
      <w:r>
        <w:rPr>
          <w:rFonts w:ascii="PT Astra Serif" w:hAnsi="PT Astra Serif" w:eastAsia="PT Astra Serif" w:cs="PT Astra Serif"/>
          <w:b w:val="0"/>
          <w:bCs w:val="0"/>
          <w:sz w:val="22"/>
          <w:szCs w:val="22"/>
        </w:rPr>
      </w:r>
      <w:r>
        <w:rPr>
          <w:rFonts w:ascii="PT Astra Serif" w:hAnsi="PT Astra Serif" w:cs="PT Astra Serif"/>
          <w:b w:val="0"/>
          <w:bCs w:val="0"/>
          <w:sz w:val="22"/>
          <w:szCs w:val="22"/>
        </w:rPr>
      </w:r>
    </w:p>
    <w:p>
      <w:pPr>
        <w:pStyle w:val="756"/>
        <w:ind w:left="0" w:right="0" w:firstLine="709"/>
        <w:jc w:val="both"/>
        <w:rPr>
          <w:rFonts w:ascii="PT Astra Serif" w:hAnsi="PT Astra Serif" w:eastAsia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 левой, верхней части экрана в боковом меню, выбрать пункт «Заявления» 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(Рисунок 2).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1072" cy="3584448"/>
                <wp:effectExtent l="6350" t="6350" r="6350" b="6350"/>
                <wp:docPr id="2" name="_x0000_i112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6291072" cy="35844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495.36pt;height:282.24pt;mso-wrap-distance-left:0.00pt;mso-wrap-distance-top:0.00pt;mso-wrap-distance-right:0.00pt;mso-wrap-distance-bottom:0.00pt;z-index:1;" stroked="f">
                <v:imagedata r:id="rId13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0"/>
        <w:jc w:val="center"/>
        <w:tabs>
          <w:tab w:val="left" w:pos="709" w:leader="none"/>
        </w:tabs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Рисунок 2 – Реестр заявлений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Откроется список (реестр) всех заявлений, созданных в системе, относящихся к территориальному органу, под ролью которого авторизовался пользователь. С помощью фильтров в навигационной панели, можно отфильтровать заявления по заданным критериям. 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Для создания нового заявления необходимо в левом верхнем углу нажать кнопку «Добавить заявление» (Рисунок 3).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5644" cy="4023360"/>
                <wp:effectExtent l="0" t="0" r="0" b="0"/>
                <wp:docPr id="3" name="_x0000_i112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6295644" cy="4023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width:495.72pt;height:316.80pt;mso-wrap-distance-left:0.00pt;mso-wrap-distance-top:0.00pt;mso-wrap-distance-right:0.00pt;mso-wrap-distance-bottom:0.00pt;z-index:1;" stroked="f">
                <v:imagedata r:id="rId14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Рисунок 3 – Создание нового заявления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После чего откроется список стандартов, просмотреть подробную информацию по стандарту можно в правой части экрана, предварительно выбрав стандарт заявления (Рисунок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4).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86500" cy="3465576"/>
                <wp:effectExtent l="0" t="0" r="0" b="0"/>
                <wp:docPr id="4" name="_x0000_i112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286500" cy="34655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" o:spid="_x0000_s3" type="#_x0000_t75" style="width:495.00pt;height:272.88pt;mso-wrap-distance-left:0.00pt;mso-wrap-distance-top:0.00pt;mso-wrap-distance-right:0.00pt;mso-wrap-distance-bottom:0.00pt;z-index:1;" stroked="f">
                <v:imagedata r:id="rId15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4"/>
          <w:szCs w:val="24"/>
        </w:rPr>
        <w:t xml:space="preserve"> </w:t>
      </w: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Рисунок 4 – Выбор стандарта заявления </w:t>
      </w: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После выбора подходящего стандарта необходимо нажать кнопку «Создать». Кнопка появляется при наведении курсора на необходимый стандарт (Рисунок 5). 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1301" cy="2721928"/>
                <wp:effectExtent l="0" t="0" r="0" b="0"/>
                <wp:docPr id="5" name="_x0000_i11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291301" cy="27219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" o:spid="_x0000_s4" type="#_x0000_t75" style="width:495.38pt;height:214.33pt;mso-wrap-distance-left:0.00pt;mso-wrap-distance-top:0.00pt;mso-wrap-distance-right:0.00pt;mso-wrap-distance-bottom:0.00pt;z-index:1;" stroked="f">
                <v:imagedata r:id="rId16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Рисунок 5 – Создание заявления из стандарта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По нажатию кнопки откроется экранная форма нового заявления (поля заполняются в соответствии с выбранным стандартом) (Рисунок 6).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4788" cy="3573590"/>
                <wp:effectExtent l="0" t="0" r="0" b="0"/>
                <wp:docPr id="6" name="_x0000_i11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6304788" cy="3573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" o:spid="_x0000_s5" type="#_x0000_t75" style="width:496.44pt;height:281.39pt;mso-wrap-distance-left:0.00pt;mso-wrap-distance-top:0.00pt;mso-wrap-distance-right:0.00pt;mso-wrap-distance-bottom:0.00pt;z-index:1;" stroked="f">
                <v:imagedata r:id="rId17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Рисунок 6 – Форма создания нового заявления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  <w:br w:type="page" w:clear="all"/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center"/>
        <w:rPr>
          <w:rFonts w:ascii="PT Astra Serif" w:hAnsi="PT Astra Serif" w:eastAsia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Перевод жилого помещения в нежилое и нежилого </w:t>
        <w:br/>
        <w:t xml:space="preserve">помещения  в жилое</w:t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</w:p>
    <w:p>
      <w:pPr>
        <w:pStyle w:val="756"/>
        <w:ind w:left="0" w:right="0" w:firstLine="709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Для создание нового стандарта «Перевод жилого помещения в нежилое и нежилого помещения в жилое», выбираем стандарт № 038425 и нажимаем кнопку «Создать» (Рисунок 7).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7252" cy="2257260"/>
                <wp:effectExtent l="0" t="0" r="0" b="0"/>
                <wp:docPr id="7" name="_x0000_i112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6307252" cy="2257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6" o:spid="_x0000_s6" type="#_x0000_t75" style="width:496.63pt;height:177.74pt;mso-wrap-distance-left:0.00pt;mso-wrap-distance-top:0.00pt;mso-wrap-distance-right:0.00pt;mso-wrap-distance-bottom:0.00pt;z-index:1;" stroked="f">
                <v:imagedata r:id="rId18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56"/>
        <w:ind w:left="0" w:right="0" w:firstLine="0"/>
        <w:jc w:val="center"/>
        <w:rPr>
          <w:rFonts w:ascii="PT Astra Serif" w:hAnsi="PT Astra Serif" w:eastAsia="PT Astra Serif" w:cs="PT Astra Serif"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Рисунок 7 – Создание стандарта «Перевод жилого помещения в нежилое и нежилого помещения в жилое»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</w:p>
    <w:p>
      <w:pPr>
        <w:shd w:val="nil" w:color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br w:type="page" w:clear="all"/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center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Структура заявления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pStyle w:val="756"/>
        <w:ind w:left="0" w:right="0" w:firstLine="709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После выбора стандарта «Перевод жилого помещения в нежилое помещение и нежилого помещения в жилое помещение» в открывшемся окне отобразятся следующие разделы заявления: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31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«Общие данные»;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31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«Заявители»;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31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«Данные по объектам»;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31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«Документы»: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44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«Входящие документы»;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44"/>
        </w:numPr>
        <w:ind w:right="0"/>
        <w:jc w:val="both"/>
        <w:rPr>
          <w:rFonts w:ascii="PT Astra Serif" w:hAnsi="PT Astra Serif" w:eastAsia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«Процессные документы»;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44"/>
        </w:numPr>
        <w:ind w:right="0"/>
        <w:jc w:val="both"/>
        <w:rPr>
          <w:rFonts w:ascii="PT Astra Serif" w:hAnsi="PT Astra Serif" w:eastAsia="PT Astra Serif" w:cs="PT Astra Serif"/>
          <w:sz w:val="28"/>
          <w:szCs w:val="28"/>
          <w:lang w:val="en-US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«Результирующие документы»; </w:t>
      </w:r>
      <w:r>
        <w:rPr>
          <w:rFonts w:ascii="PT Astra Serif" w:hAnsi="PT Astra Serif" w:eastAsia="PT Astra Serif" w:cs="PT Astra Serif"/>
          <w:sz w:val="28"/>
          <w:szCs w:val="28"/>
          <w:lang w:val="en-US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44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Межвед-запросы. </w:t>
      </w:r>
      <w:r/>
      <w:r/>
    </w:p>
    <w:p>
      <w:pPr>
        <w:pStyle w:val="756"/>
        <w:numPr>
          <w:ilvl w:val="0"/>
          <w:numId w:val="34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«Завершенные операции»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;</w:t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34"/>
        </w:numPr>
        <w:ind w:right="0"/>
        <w:jc w:val="both"/>
        <w:rPr>
          <w:rFonts w:ascii="PT Astra Serif" w:hAnsi="PT Astra Serif" w:eastAsia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«История»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shd w:val="nil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  <w:br w:type="page" w:clear="all"/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pStyle w:val="756"/>
        <w:ind w:left="0" w:right="0" w:firstLine="709"/>
        <w:jc w:val="center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2.1.1</w:t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en-US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Блок «Общие данные»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pStyle w:val="756"/>
        <w:ind w:left="0" w:right="0" w:firstLine="709"/>
        <w:jc w:val="center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Блок «Общие данные» содержит следующие формы для заполнения (Рисунок 8):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49"/>
        </w:numPr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Источник заявления.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49"/>
        </w:numPr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  <w:lang w:val="ru-RU"/>
        </w:rPr>
        <w:t xml:space="preserve">Способ получения результата: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45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Вид переводимого объекта;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45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Для использования переводимого объекта требуется переустройство или перепланировка?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45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Образуется новое помещение.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50"/>
        </w:numPr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  <w:lang w:val="ru-RU"/>
        </w:rPr>
        <w:t xml:space="preserve">Реквизиты протокола общего собрания собственников помещений: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46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Реквизиты;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46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Дата составления.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51"/>
        </w:numPr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  <w:lang w:val="ru-RU"/>
        </w:rPr>
        <w:t xml:space="preserve">Срок и режим производства ремонтно-строительных работ: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47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Дата начала;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47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Дата окончания.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52"/>
        </w:numPr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  <w:lang w:val="ru-RU"/>
        </w:rPr>
        <w:t xml:space="preserve">Комментарии с ЕПГУ: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48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Дата;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48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Комментарий.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Обязательные поля для заполнения выделены отдельным символом – звёздочка «</w:t>
      </w:r>
      <w:r>
        <w:rPr>
          <w:rFonts w:ascii="PT Astra Serif" w:hAnsi="PT Astra Serif" w:eastAsia="PT Astra Serif" w:cs="PT Astra Serif"/>
          <w:color w:val="ff0000"/>
          <w:sz w:val="28"/>
          <w:szCs w:val="28"/>
          <w:lang w:val="ru-RU"/>
        </w:rPr>
        <w:t xml:space="preserve">*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».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86500" cy="3591916"/>
                <wp:effectExtent l="0" t="0" r="0" b="0"/>
                <wp:docPr id="8" name="_x0000_i11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6286500" cy="3591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7" o:spid="_x0000_s7" type="#_x0000_t75" style="width:495.00pt;height:282.83pt;mso-wrap-distance-left:0.00pt;mso-wrap-distance-top:0.00pt;mso-wrap-distance-right:0.00pt;mso-wrap-distance-bottom:0.00pt;z-index:1;" stroked="f">
                <v:imagedata r:id="rId19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4"/>
          <w:szCs w:val="24"/>
        </w:rPr>
        <w:t xml:space="preserve"> </w:t>
      </w: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Рисунок 8 – Формы для заполнения «Общие данные»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 разделе «Источник заявления» выберите одно необходимое значение из предложенных вариантов. В зависимости от выбранного значения заполнится соответствующее поле (Рисунок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9). 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5644" cy="1663090"/>
                <wp:effectExtent l="0" t="0" r="0" b="0"/>
                <wp:docPr id="9" name="_x0000_i112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6295644" cy="1663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8" o:spid="_x0000_s8" type="#_x0000_t75" style="width:495.72pt;height:130.95pt;mso-wrap-distance-left:0.00pt;mso-wrap-distance-top:0.00pt;mso-wrap-distance-right:0.00pt;mso-wrap-distance-bottom:0.00pt;z-index:1;" stroked="f">
                <v:imagedata r:id="rId20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56"/>
        <w:ind w:left="0" w:right="0" w:firstLine="0"/>
        <w:jc w:val="center"/>
        <w:rPr>
          <w:rFonts w:ascii="PT Astra Serif" w:hAnsi="PT Astra Serif" w:eastAsia="PT Astra Serif" w:cs="PT Astra Serif"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Рисунок 9 – Раздел  «Источник заявления»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Разделе </w:t>
        <w:tab/>
        <w:t xml:space="preserve">«Способ </w:t>
        <w:tab/>
        <w:t xml:space="preserve">получения </w:t>
        <w:tab/>
        <w:t xml:space="preserve">результата», первоначальное поле </w:t>
        <w:tab/>
        <w:t xml:space="preserve">– </w:t>
        <w:tab/>
        <w:t xml:space="preserve">заполняется автоматически, в зависимости от выбранного варианта заявителем.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Поле «Вид переводимого объекта» заполняется предложенными вариантами (Рисунок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10):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53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Жилое;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53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Нежилое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5644" cy="2176272"/>
                <wp:effectExtent l="0" t="0" r="0" b="0"/>
                <wp:docPr id="10" name="_x0000_i11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6295644" cy="21762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9" o:spid="_x0000_s9" type="#_x0000_t75" style="width:495.72pt;height:171.36pt;mso-wrap-distance-left:0.00pt;mso-wrap-distance-top:0.00pt;mso-wrap-distance-right:0.00pt;mso-wrap-distance-bottom:0.00pt;z-index:1;" stroked="f">
                <v:imagedata r:id="rId21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56"/>
        <w:ind w:left="0" w:right="0" w:firstLine="0"/>
        <w:jc w:val="center"/>
        <w:rPr>
          <w:rFonts w:ascii="PT Astra Serif" w:hAnsi="PT Astra Serif" w:eastAsia="PT Astra Serif" w:cs="PT Astra Serif"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Рисунок 10 – Поле «Вид переводимого помещения»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Далее, необходимо выбрать значение «Да» или «Нет» при ответе на вопросы в формах (Рисунок 11):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57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Для использования переводимого объекта требуется переустройство или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перепланировка;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57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Образуется новое помещение.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5644" cy="2868028"/>
                <wp:effectExtent l="0" t="0" r="0" b="0"/>
                <wp:docPr id="11" name="_x0000_i11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6295644" cy="28680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" o:spid="_x0000_s10" type="#_x0000_t75" style="width:495.72pt;height:225.83pt;mso-wrap-distance-left:0.00pt;mso-wrap-distance-top:0.00pt;mso-wrap-distance-right:0.00pt;mso-wrap-distance-bottom:0.00pt;z-index:1;" stroked="f">
                <v:imagedata r:id="rId22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56"/>
        <w:ind w:left="0" w:right="0" w:firstLine="0"/>
        <w:jc w:val="center"/>
        <w:rPr>
          <w:rFonts w:ascii="PT Astra Serif" w:hAnsi="PT Astra Serif" w:eastAsia="PT Astra Serif" w:cs="PT Astra Serif"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Рисунок 11 – Поле «Для использования переводимого помещения требуется переустройство или перепланировка»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Раздел «Реквизиты протокола общего собрания собственников помещений» содержит два поля для заполнения (Рисунок 12):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56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Реквизиты;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56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Дата составления.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4788" cy="800500"/>
                <wp:effectExtent l="0" t="0" r="0" b="0"/>
                <wp:docPr id="12" name="_x0000_i113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6304788" cy="80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1" o:spid="_x0000_s11" type="#_x0000_t75" style="width:496.44pt;height:63.03pt;mso-wrap-distance-left:0.00pt;mso-wrap-distance-top:0.00pt;mso-wrap-distance-right:0.00pt;mso-wrap-distance-bottom:0.00pt;z-index:1;" stroked="f">
                <v:imagedata r:id="rId23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Рисунок 12 - Раздел «Реквизиты протокола общего собрания собственников помещений»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 разделе «Срок и режим производства ремонтно-строительных работ» необходимо заполнить следующие поля (Рисунок 13):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58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Дата начала;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58"/>
        </w:numPr>
        <w:ind w:right="0"/>
        <w:jc w:val="both"/>
        <w:rPr>
          <w:rFonts w:ascii="PT Astra Serif" w:hAnsi="PT Astra Serif" w:eastAsia="PT Astra Serif" w:cs="PT Astra Serif"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Дата окончания.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</w:p>
    <w:p>
      <w:pPr>
        <w:pStyle w:val="756"/>
        <w:ind w:left="0" w:right="0" w:firstLine="709"/>
        <w:jc w:val="both"/>
        <w:rPr>
          <w:rFonts w:ascii="PT Astra Serif" w:hAnsi="PT Astra Serif" w:eastAsia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sz w:val="22"/>
          <w:szCs w:val="22"/>
        </w:rPr>
      </w:r>
    </w:p>
    <w:p>
      <w:pPr>
        <w:pStyle w:val="756"/>
        <w:ind w:left="0" w:right="0" w:firstLine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4788" cy="788022"/>
                <wp:effectExtent l="0" t="0" r="0" b="0"/>
                <wp:docPr id="13" name="_x0000_i113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1421483" name=""/>
                        <pic:cNvPicPr/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6304788" cy="7880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2" o:spid="_x0000_s12" type="#_x0000_t75" style="width:496.44pt;height:62.05pt;mso-wrap-distance-left:0.00pt;mso-wrap-distance-top:0.00pt;mso-wrap-distance-right:0.00pt;mso-wrap-distance-bottom:0.00pt;z-index:1;" stroked="f">
                <v:imagedata r:id="rId24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eastAsia="PT Astra Serif" w:cs="PT Astra Serif"/>
          <w:sz w:val="22"/>
          <w:szCs w:val="22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Рисунок 13 - Раздел «Срок и режим производства ремонтно-строительных работ»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eastAsia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 разделе «Собственники примыкающих помещений, согласовавшие заявление» необходимо указать данные собственников примыкающих помещений (Рисунок 14): 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756"/>
        <w:numPr>
          <w:ilvl w:val="0"/>
          <w:numId w:val="59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Наименование собственника;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59"/>
        </w:numPr>
        <w:ind w:right="0"/>
        <w:jc w:val="both"/>
        <w:rPr>
          <w:rFonts w:ascii="PT Astra Serif" w:hAnsi="PT Astra Serif" w:eastAsia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Электронная почта собственника.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0216" cy="1225810"/>
                <wp:effectExtent l="0" t="0" r="0" b="0"/>
                <wp:docPr id="14" name="_x0000_i11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6300216" cy="1225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3" o:spid="_x0000_s13" type="#_x0000_t75" style="width:496.08pt;height:96.52pt;mso-wrap-distance-left:0.00pt;mso-wrap-distance-top:0.00pt;mso-wrap-distance-right:0.00pt;mso-wrap-distance-bottom:0.00pt;z-index:1;" stroked="f">
                <v:imagedata r:id="rId25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56"/>
        <w:ind w:left="0" w:right="0" w:firstLine="0"/>
        <w:jc w:val="center"/>
        <w:rPr>
          <w:rFonts w:ascii="PT Astra Serif" w:hAnsi="PT Astra Serif" w:eastAsia="PT Astra Serif" w:cs="PT Astra Serif"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Рисунок 14 –  Раздел «Собственники примыкающих помещений, согласовавшие </w:t>
      </w:r>
      <w:r>
        <w:rPr>
          <w:rFonts w:ascii="PT Astra Serif" w:hAnsi="PT Astra Serif" w:eastAsia="PT Astra Serif" w:cs="PT Astra Serif"/>
          <w:sz w:val="22"/>
          <w:szCs w:val="22"/>
        </w:rPr>
        <w:t xml:space="preserve">заявление»</w:t>
      </w:r>
      <w:r>
        <w:rPr>
          <w:rFonts w:ascii="PT Astra Serif" w:hAnsi="PT Astra Serif" w:cs="PT Astra Serif"/>
          <w:sz w:val="22"/>
          <w:szCs w:val="22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Формы раздела «Комментарии с ЕПГУ», заполняются системой автоматически, если такие данные поступили от заявителя (Рисунок 15):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60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Дата;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60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Комментарий.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eastAsia="PT Astra Serif" w:cs="PT Astra Serif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0216" cy="2016252"/>
                <wp:effectExtent l="0" t="0" r="0" b="0"/>
                <wp:docPr id="15" name="_x0000_i113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62074582" name=""/>
                        <pic:cNvPicPr/>
                        <pic:nvPr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6300216" cy="20162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4" o:spid="_x0000_s14" type="#_x0000_t75" style="width:496.08pt;height:158.76pt;mso-wrap-distance-left:0.00pt;mso-wrap-distance-top:0.00pt;mso-wrap-distance-right:0.00pt;mso-wrap-distance-bottom:0.00pt;z-index:1;" stroked="f">
                <v:imagedata r:id="rId26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Рисунок 15 - Раздел «Комментарии с ЕПГУ»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eastAsia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</w:p>
    <w:p>
      <w:pPr>
        <w:shd w:val="nil" w:color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  <w:br w:type="page" w:clear="all"/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center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Блок «Заявители»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pStyle w:val="756"/>
        <w:ind w:left="0" w:right="0" w:firstLine="709"/>
        <w:jc w:val="both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Для добавления сведений о заявителе, необходимо нажать кнопку «Добавить» в блоке «Заявители» (Рисунок 16). 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18"/>
          <w:szCs w:val="18"/>
        </w:rPr>
      </w:pPr>
      <w:r>
        <w:rPr>
          <w:rFonts w:ascii="PT Astra Serif" w:hAnsi="PT Astra Serif" w:eastAsia="PT Astra Serif" w:cs="PT Astra Serif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5644" cy="803434"/>
                <wp:effectExtent l="0" t="0" r="0" b="0"/>
                <wp:docPr id="16" name="_x0000_i113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6295644" cy="8034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5" o:spid="_x0000_s15" type="#_x0000_t75" style="width:495.72pt;height:63.26pt;mso-wrap-distance-left:0.00pt;mso-wrap-distance-top:0.00pt;mso-wrap-distance-right:0.00pt;mso-wrap-distance-bottom:0.00pt;z-index:1;" stroked="f">
                <v:imagedata r:id="rId27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18"/>
          <w:szCs w:val="18"/>
        </w:rPr>
      </w:r>
    </w:p>
    <w:p>
      <w:pPr>
        <w:pStyle w:val="756"/>
        <w:ind w:left="0" w:right="0" w:firstLine="0"/>
        <w:jc w:val="center"/>
        <w:rPr>
          <w:rFonts w:ascii="PT Astra Serif" w:hAnsi="PT Astra Serif" w:eastAsia="PT Astra Serif" w:cs="PT Astra Serif"/>
          <w:sz w:val="18"/>
          <w:szCs w:val="18"/>
          <w:highlight w:val="none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Рисунок 16 – Добавление заявителя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eastAsia="PT Astra Serif" w:cs="PT Astra Serif"/>
          <w:sz w:val="18"/>
          <w:szCs w:val="18"/>
          <w:highlight w:val="none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 окне «Заявители» нужно выбрать тип заявителя (Рисунок 17): 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Юридическое лицо; 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Индивидуальный предприниматель; 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Физическое лицо; 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Филиал иностранного юридического лица. 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18"/>
          <w:szCs w:val="18"/>
        </w:rPr>
      </w:pPr>
      <w:r>
        <w:rPr>
          <w:rFonts w:ascii="PT Astra Serif" w:hAnsi="PT Astra Serif" w:eastAsia="PT Astra Serif" w:cs="PT Astra Serif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4788" cy="1314895"/>
                <wp:effectExtent l="0" t="0" r="0" b="0"/>
                <wp:docPr id="17" name="_x0000_i113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8"/>
                        <a:stretch/>
                      </pic:blipFill>
                      <pic:spPr bwMode="auto">
                        <a:xfrm>
                          <a:off x="0" y="0"/>
                          <a:ext cx="6304788" cy="1314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6" o:spid="_x0000_s16" type="#_x0000_t75" style="width:496.44pt;height:103.54pt;mso-wrap-distance-left:0.00pt;mso-wrap-distance-top:0.00pt;mso-wrap-distance-right:0.00pt;mso-wrap-distance-bottom:0.00pt;z-index:1;" stroked="f">
                <v:imagedata r:id="rId28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18"/>
          <w:szCs w:val="18"/>
        </w:rPr>
      </w:r>
    </w:p>
    <w:p>
      <w:pPr>
        <w:pStyle w:val="756"/>
        <w:ind w:left="0" w:right="0" w:firstLine="0"/>
        <w:jc w:val="center"/>
        <w:rPr>
          <w:rFonts w:ascii="PT Astra Serif" w:hAnsi="PT Astra Serif" w:eastAsia="PT Astra Serif" w:cs="PT Astra Serif"/>
          <w:sz w:val="18"/>
          <w:szCs w:val="18"/>
          <w:highlight w:val="none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Рисунок 17– Выбор типа заявителя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eastAsia="PT Astra Serif" w:cs="PT Astra Serif"/>
          <w:sz w:val="18"/>
          <w:szCs w:val="18"/>
          <w:highlight w:val="none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Для поиска заявителя с помощью строки «Поиск» необходимо ввести наименование, либо ИНН или ОГРН заявителя и нажать кнопку «Найти». Далее в открывшемся окне выбрать заявителя и нажать кнопку «Выбрать» (Рисунок 18, Рисунок 19):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18"/>
          <w:szCs w:val="18"/>
        </w:rPr>
      </w:pPr>
      <w:r>
        <w:rPr>
          <w:rFonts w:ascii="PT Astra Serif" w:hAnsi="PT Astra Serif" w:eastAsia="PT Astra Serif" w:cs="PT Astra Serif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4788" cy="1434021"/>
                <wp:effectExtent l="0" t="0" r="0" b="0"/>
                <wp:docPr id="18" name="_x0000_i113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9"/>
                        <a:stretch/>
                      </pic:blipFill>
                      <pic:spPr bwMode="auto">
                        <a:xfrm>
                          <a:off x="0" y="0"/>
                          <a:ext cx="6304788" cy="14340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7" o:spid="_x0000_s17" type="#_x0000_t75" style="width:496.44pt;height:112.92pt;mso-wrap-distance-left:0.00pt;mso-wrap-distance-top:0.00pt;mso-wrap-distance-right:0.00pt;mso-wrap-distance-bottom:0.00pt;z-index:1;" stroked="f">
                <v:imagedata r:id="rId29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18"/>
          <w:szCs w:val="18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18"/>
          <w:szCs w:val="18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Рисунок 18 – Строка «Поиск»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18"/>
          <w:szCs w:val="1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18"/>
          <w:szCs w:val="18"/>
        </w:rPr>
      </w:pPr>
      <w:r>
        <w:rPr>
          <w:rFonts w:ascii="PT Astra Serif" w:hAnsi="PT Astra Serif" w:eastAsia="PT Astra Serif" w:cs="PT Astra Serif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1981" cy="3382416"/>
                <wp:effectExtent l="0" t="0" r="0" b="0"/>
                <wp:docPr id="19" name="_x0000_i113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6301981" cy="33824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8" o:spid="_x0000_s18" type="#_x0000_t75" style="width:496.22pt;height:266.33pt;mso-wrap-distance-left:0.00pt;mso-wrap-distance-top:0.00pt;mso-wrap-distance-right:0.00pt;mso-wrap-distance-bottom:0.00pt;z-index:1;" stroked="f">
                <v:imagedata r:id="rId30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18"/>
          <w:szCs w:val="18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18"/>
          <w:szCs w:val="18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Рисунок 19 – Выбор заявителя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18"/>
          <w:szCs w:val="1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Далее необходимо заполнить все обязательные поля с отдельным признаком – звездочка «</w:t>
      </w:r>
      <w:r>
        <w:rPr>
          <w:rFonts w:ascii="PT Astra Serif" w:hAnsi="PT Astra Serif" w:eastAsia="PT Astra Serif" w:cs="PT Astra Serif"/>
          <w:color w:val="ff0000"/>
          <w:sz w:val="28"/>
          <w:szCs w:val="28"/>
          <w:lang w:val="ru-RU"/>
        </w:rPr>
        <w:t xml:space="preserve">*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». Таким обязательным полем для заполнения является поле «Тип субъекта» для заполнения необходимо выбрать значение из выпадающего списка (Рисунок 20)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18"/>
          <w:szCs w:val="18"/>
        </w:rPr>
      </w:pPr>
      <w:r>
        <w:rPr>
          <w:rFonts w:ascii="PT Astra Serif" w:hAnsi="PT Astra Serif" w:eastAsia="PT Astra Serif" w:cs="PT Astra Serif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5644" cy="1603540"/>
                <wp:effectExtent l="0" t="0" r="0" b="0"/>
                <wp:docPr id="20" name="_x0000_i114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6295644" cy="1603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9" o:spid="_x0000_s19" type="#_x0000_t75" style="width:495.72pt;height:126.26pt;mso-wrap-distance-left:0.00pt;mso-wrap-distance-top:0.00pt;mso-wrap-distance-right:0.00pt;mso-wrap-distance-bottom:0.00pt;z-index:1;" stroked="f">
                <v:imagedata r:id="rId31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18"/>
          <w:szCs w:val="18"/>
        </w:rPr>
      </w:r>
    </w:p>
    <w:p>
      <w:pPr>
        <w:pStyle w:val="756"/>
        <w:ind w:left="0" w:right="0" w:firstLine="0"/>
        <w:jc w:val="center"/>
        <w:rPr>
          <w:rFonts w:ascii="PT Astra Serif" w:hAnsi="PT Astra Serif" w:eastAsia="PT Astra Serif" w:cs="PT Astra Serif"/>
          <w:sz w:val="18"/>
          <w:szCs w:val="18"/>
          <w:highlight w:val="none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Рисунок 20 – Заполнение поля «Тип субъекта»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eastAsia="PT Astra Serif" w:cs="PT Astra Serif"/>
          <w:sz w:val="18"/>
          <w:szCs w:val="18"/>
          <w:highlight w:val="none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ab/>
      </w:r>
      <w:r>
        <w:rPr>
          <w:rFonts w:ascii="PT Astra Serif" w:hAnsi="PT Astra Serif" w:eastAsia="PT Astra Serif" w:cs="PT Astra Serif"/>
          <w:sz w:val="28"/>
          <w:szCs w:val="28"/>
        </w:rPr>
        <w:t xml:space="preserve">После </w:t>
        <w:tab/>
        <w:t xml:space="preserve">внесения </w:t>
        <w:tab/>
        <w:t xml:space="preserve">необходимой </w:t>
        <w:tab/>
        <w:t xml:space="preserve">информации </w:t>
        <w:tab/>
        <w:t xml:space="preserve">нажмите кнопку </w:t>
        <w:tab/>
        <w:t xml:space="preserve">«Применить» 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  <w:t xml:space="preserve">(Рисунок 21). 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4788" cy="3451860"/>
                <wp:effectExtent l="0" t="0" r="0" b="0"/>
                <wp:docPr id="21" name="_x0000_i114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6304788" cy="3451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0" o:spid="_x0000_s20" type="#_x0000_t75" style="width:496.44pt;height:271.80pt;mso-wrap-distance-left:0.00pt;mso-wrap-distance-top:0.00pt;mso-wrap-distance-right:0.00pt;mso-wrap-distance-bottom:0.00pt;z-index:1;" stroked="f">
                <v:imagedata r:id="rId32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4"/>
          <w:szCs w:val="24"/>
        </w:rPr>
        <w:t xml:space="preserve"> </w:t>
      </w: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Рисунок 21 – Добавление заявителя </w:t>
      </w: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shd w:val="nil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  <w:br w:type="page" w:clear="all"/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pStyle w:val="756"/>
        <w:ind w:left="0" w:right="0" w:firstLine="709"/>
        <w:jc w:val="center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Блок «Данные по объектам»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pStyle w:val="756"/>
        <w:ind w:left="0" w:right="0" w:firstLine="709"/>
        <w:jc w:val="center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Для добавления конкретного объекта необходимо нажать кнопку «Добавить» в блоке «Данные по объектам» (Рисунок 22).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18"/>
          <w:szCs w:val="18"/>
        </w:rPr>
      </w:pPr>
      <w:r>
        <w:rPr>
          <w:rFonts w:ascii="PT Astra Serif" w:hAnsi="PT Astra Serif" w:eastAsia="PT Astra Serif" w:cs="PT Astra Serif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4788" cy="948375"/>
                <wp:effectExtent l="0" t="0" r="0" b="0"/>
                <wp:docPr id="22" name="_x0000_i114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6304788" cy="948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1" o:spid="_x0000_s21" type="#_x0000_t75" style="width:496.44pt;height:74.68pt;mso-wrap-distance-left:0.00pt;mso-wrap-distance-top:0.00pt;mso-wrap-distance-right:0.00pt;mso-wrap-distance-bottom:0.00pt;z-index:1;" stroked="f">
                <v:imagedata r:id="rId33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18"/>
          <w:szCs w:val="18"/>
        </w:rPr>
      </w:r>
    </w:p>
    <w:p>
      <w:pPr>
        <w:pStyle w:val="756"/>
        <w:ind w:left="0" w:right="0" w:firstLine="0"/>
        <w:jc w:val="center"/>
        <w:rPr>
          <w:rFonts w:ascii="PT Astra Serif" w:hAnsi="PT Astra Serif" w:eastAsia="PT Astra Serif" w:cs="PT Astra Serif"/>
          <w:sz w:val="18"/>
          <w:szCs w:val="18"/>
          <w:highlight w:val="none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Рисунок 22 – Добавление нового объекта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eastAsia="PT Astra Serif" w:cs="PT Astra Serif"/>
          <w:sz w:val="18"/>
          <w:szCs w:val="18"/>
          <w:highlight w:val="none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Для поиска объекта с помощью строки «Поиск» необходимо ввести наименование объекта и нажать кнопку «Найти». Далее в открывшемся окне выбрать одно из найденных помещений (объектов) и нажать кнопку «Выбрать» (Рисунок 23, Рисунок 24).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18"/>
          <w:szCs w:val="18"/>
        </w:rPr>
      </w:pPr>
      <w:r>
        <w:rPr>
          <w:rFonts w:ascii="PT Astra Serif" w:hAnsi="PT Astra Serif" w:eastAsia="PT Astra Serif" w:cs="PT Astra Serif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5644" cy="2386978"/>
                <wp:effectExtent l="0" t="0" r="0" b="0"/>
                <wp:docPr id="23" name="_x0000_i114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4"/>
                        <a:stretch/>
                      </pic:blipFill>
                      <pic:spPr bwMode="auto">
                        <a:xfrm>
                          <a:off x="0" y="0"/>
                          <a:ext cx="6295644" cy="23869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2" o:spid="_x0000_s22" type="#_x0000_t75" style="width:495.72pt;height:187.95pt;mso-wrap-distance-left:0.00pt;mso-wrap-distance-top:0.00pt;mso-wrap-distance-right:0.00pt;mso-wrap-distance-bottom:0.00pt;z-index:1;" stroked="f">
                <v:imagedata r:id="rId34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18"/>
          <w:szCs w:val="18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18"/>
          <w:szCs w:val="18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Рисунок 23 – Строка «Поиск»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18"/>
          <w:szCs w:val="1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18"/>
          <w:szCs w:val="18"/>
        </w:rPr>
      </w:pPr>
      <w:r>
        <w:rPr>
          <w:rFonts w:ascii="PT Astra Serif" w:hAnsi="PT Astra Serif" w:eastAsia="PT Astra Serif" w:cs="PT Astra Serif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5644" cy="2457056"/>
                <wp:effectExtent l="0" t="0" r="0" b="0"/>
                <wp:docPr id="24" name="_x0000_i114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6295644" cy="24570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3" o:spid="_x0000_s23" type="#_x0000_t75" style="width:495.72pt;height:193.47pt;mso-wrap-distance-left:0.00pt;mso-wrap-distance-top:0.00pt;mso-wrap-distance-right:0.00pt;mso-wrap-distance-bottom:0.00pt;z-index:1;" stroked="f">
                <v:imagedata r:id="rId35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18"/>
          <w:szCs w:val="18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18"/>
          <w:szCs w:val="18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Рисунок 24 – Выбор объекта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18"/>
          <w:szCs w:val="1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После выбора объекта заполните все обязательные поля со знаком «</w:t>
      </w:r>
      <w:r>
        <w:rPr>
          <w:rFonts w:ascii="PT Astra Serif" w:hAnsi="PT Astra Serif" w:eastAsia="PT Astra Serif" w:cs="PT Astra Serif"/>
          <w:color w:val="ff0000"/>
          <w:sz w:val="28"/>
          <w:szCs w:val="28"/>
          <w:lang w:val="ru-RU"/>
        </w:rPr>
        <w:t xml:space="preserve">*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» и нажмите кнопку «Применить» (Рисунок 25). 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center"/>
        <w:rPr>
          <w:rFonts w:ascii="PT Astra Serif" w:hAnsi="PT Astra Serif" w:cs="PT Astra Serif"/>
          <w:sz w:val="18"/>
          <w:szCs w:val="18"/>
        </w:rPr>
      </w:pPr>
      <w:r>
        <w:rPr>
          <w:rFonts w:ascii="PT Astra Serif" w:hAnsi="PT Astra Serif" w:eastAsia="PT Astra Serif" w:cs="PT Astra Serif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0216" cy="1580629"/>
                <wp:effectExtent l="0" t="0" r="0" b="0"/>
                <wp:docPr id="25" name="_x0000_i114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6"/>
                        <a:stretch/>
                      </pic:blipFill>
                      <pic:spPr bwMode="auto">
                        <a:xfrm>
                          <a:off x="0" y="0"/>
                          <a:ext cx="6300216" cy="15806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4" o:spid="_x0000_s24" type="#_x0000_t75" style="width:496.08pt;height:124.46pt;mso-wrap-distance-left:0.00pt;mso-wrap-distance-top:0.00pt;mso-wrap-distance-right:0.00pt;mso-wrap-distance-bottom:0.00pt;z-index:1;" stroked="f">
                <v:imagedata r:id="rId36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18"/>
          <w:szCs w:val="18"/>
        </w:rPr>
      </w:r>
    </w:p>
    <w:p>
      <w:pPr>
        <w:pStyle w:val="756"/>
        <w:ind w:left="0" w:right="0" w:firstLine="709"/>
        <w:jc w:val="center"/>
        <w:rPr>
          <w:rFonts w:ascii="PT Astra Serif" w:hAnsi="PT Astra Serif" w:cs="PT Astra Serif"/>
          <w:sz w:val="18"/>
          <w:szCs w:val="18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Рисунок 25 – Добавление объекта (объекта)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18"/>
          <w:szCs w:val="1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Для создания нового объекта (объекта) необходимо заполнить поля (Рисунок 26): 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61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Наименование; 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61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Кадастровый номер;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61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Адрес объекта;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61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Тип объекта;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61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Площадь;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61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Условный номер;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61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Населенный пункт; 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61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Местонахождение объекта;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61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Подъезд;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61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Этаж и прочие.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После внесения требуемых данных необходимо нажать кнопку «Применить». 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18"/>
          <w:szCs w:val="18"/>
        </w:rPr>
      </w:pPr>
      <w:r>
        <w:rPr>
          <w:rFonts w:ascii="PT Astra Serif" w:hAnsi="PT Astra Serif" w:eastAsia="PT Astra Serif" w:cs="PT Astra Serif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5644" cy="4274820"/>
                <wp:effectExtent l="0" t="0" r="0" b="0"/>
                <wp:docPr id="26" name="_x0000_i114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7"/>
                        <a:stretch/>
                      </pic:blipFill>
                      <pic:spPr bwMode="auto">
                        <a:xfrm>
                          <a:off x="0" y="0"/>
                          <a:ext cx="6295644" cy="427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5" o:spid="_x0000_s25" type="#_x0000_t75" style="width:495.72pt;height:336.60pt;mso-wrap-distance-left:0.00pt;mso-wrap-distance-top:0.00pt;mso-wrap-distance-right:0.00pt;mso-wrap-distance-bottom:0.00pt;z-index:1;" stroked="f">
                <v:imagedata r:id="rId37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18"/>
          <w:szCs w:val="18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18"/>
          <w:szCs w:val="18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Рисунок 26 – Создание нового объекта (объекта)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18"/>
          <w:szCs w:val="18"/>
        </w:rPr>
      </w:r>
    </w:p>
    <w:p>
      <w:pPr>
        <w:shd w:val="nil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  <w:br w:type="page" w:clear="all"/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pStyle w:val="756"/>
        <w:ind w:left="0" w:right="0" w:firstLine="709"/>
        <w:jc w:val="center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Блок «Документы»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Для того чтобы просмо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треть или скачать поступившие документы от заявителя, нужно перейти в блок «Документы», так же там будет возможность добавить новый требуемый документ или просмотреть дополнительную информацию, например - «Дату и время» поступления документов (Рисунок 27)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18"/>
          <w:szCs w:val="18"/>
        </w:rPr>
      </w:pPr>
      <w:r>
        <w:rPr>
          <w:rFonts w:ascii="PT Astra Serif" w:hAnsi="PT Astra Serif" w:eastAsia="PT Astra Serif" w:cs="PT Astra Serif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1072" cy="1760220"/>
                <wp:effectExtent l="0" t="0" r="0" b="0"/>
                <wp:docPr id="27" name="_x0000_i114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8"/>
                        <a:stretch/>
                      </pic:blipFill>
                      <pic:spPr bwMode="auto">
                        <a:xfrm>
                          <a:off x="0" y="0"/>
                          <a:ext cx="6291072" cy="1760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6" o:spid="_x0000_s26" type="#_x0000_t75" style="width:495.36pt;height:138.60pt;mso-wrap-distance-left:0.00pt;mso-wrap-distance-top:0.00pt;mso-wrap-distance-right:0.00pt;mso-wrap-distance-bottom:0.00pt;z-index:1;" stroked="f">
                <v:imagedata r:id="rId38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18"/>
          <w:szCs w:val="18"/>
        </w:rPr>
      </w:r>
    </w:p>
    <w:p>
      <w:pPr>
        <w:pStyle w:val="756"/>
        <w:ind w:left="0" w:right="0" w:firstLine="0"/>
        <w:jc w:val="center"/>
        <w:rPr>
          <w:rFonts w:ascii="PT Astra Serif" w:hAnsi="PT Astra Serif" w:eastAsia="PT Astra Serif" w:cs="PT Astra Serif"/>
          <w:sz w:val="18"/>
          <w:szCs w:val="18"/>
          <w:highlight w:val="none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Рисунок 27 – Блок «Документы»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eastAsia="PT Astra Serif" w:cs="PT Astra Serif"/>
          <w:sz w:val="18"/>
          <w:szCs w:val="18"/>
          <w:highlight w:val="none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Чтобы отредактировать информацию по приложенным файлам, добавить дополнительные файлы или удалить ненужные файлы – необходимо нажать соответствующие кнопки «Редактировать» или «Удалить» (Рисунок 28)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18"/>
          <w:szCs w:val="18"/>
        </w:rPr>
      </w:pPr>
      <w:r>
        <w:rPr>
          <w:rFonts w:ascii="PT Astra Serif" w:hAnsi="PT Astra Serif" w:eastAsia="PT Astra Serif" w:cs="PT Astra Serif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0216" cy="1745564"/>
                <wp:effectExtent l="0" t="0" r="0" b="0"/>
                <wp:docPr id="28" name="_x0000_i114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9"/>
                        <a:stretch/>
                      </pic:blipFill>
                      <pic:spPr bwMode="auto">
                        <a:xfrm>
                          <a:off x="0" y="0"/>
                          <a:ext cx="6300216" cy="17455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7" o:spid="_x0000_s27" type="#_x0000_t75" style="width:496.08pt;height:137.45pt;mso-wrap-distance-left:0.00pt;mso-wrap-distance-top:0.00pt;mso-wrap-distance-right:0.00pt;mso-wrap-distance-bottom:0.00pt;z-index:1;" stroked="f">
                <v:imagedata r:id="rId39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18"/>
          <w:szCs w:val="18"/>
        </w:rPr>
      </w:r>
    </w:p>
    <w:p>
      <w:pPr>
        <w:pStyle w:val="756"/>
        <w:ind w:left="0" w:right="0" w:firstLine="0"/>
        <w:jc w:val="center"/>
        <w:rPr>
          <w:rFonts w:ascii="PT Astra Serif" w:hAnsi="PT Astra Serif" w:eastAsia="PT Astra Serif" w:cs="PT Astra Serif"/>
          <w:sz w:val="18"/>
          <w:szCs w:val="18"/>
          <w:highlight w:val="none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Рисунок 28 – Блок «Документы»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eastAsia="PT Astra Serif" w:cs="PT Astra Serif"/>
          <w:sz w:val="18"/>
          <w:szCs w:val="18"/>
          <w:highlight w:val="none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  <w:tab/>
        <w:t xml:space="preserve">Чтобы внести изменения в наименование файла необходимо нажать кнопку редактировать, и система отобразит дополнительные поля. После внесения изменений, нажмите кнопку «Применить» (Рисунок 29)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18"/>
          <w:szCs w:val="18"/>
        </w:rPr>
      </w:pPr>
      <w:r>
        <w:rPr>
          <w:rFonts w:ascii="PT Astra Serif" w:hAnsi="PT Astra Serif" w:eastAsia="PT Astra Serif" w:cs="PT Astra Serif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4788" cy="2628900"/>
                <wp:effectExtent l="0" t="0" r="0" b="0"/>
                <wp:docPr id="29" name="_x0000_i114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0"/>
                        <a:stretch/>
                      </pic:blipFill>
                      <pic:spPr bwMode="auto">
                        <a:xfrm>
                          <a:off x="0" y="0"/>
                          <a:ext cx="6304788" cy="262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8" o:spid="_x0000_s28" type="#_x0000_t75" style="width:496.44pt;height:207.00pt;mso-wrap-distance-left:0.00pt;mso-wrap-distance-top:0.00pt;mso-wrap-distance-right:0.00pt;mso-wrap-distance-bottom:0.00pt;z-index:1;" stroked="f">
                <v:imagedata r:id="rId40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18"/>
          <w:szCs w:val="18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18"/>
          <w:szCs w:val="18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Рисунок 29 – Редактирование наименования документа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18"/>
          <w:szCs w:val="1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shd w:val="nil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  <w:br w:type="page" w:clear="all"/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pStyle w:val="756"/>
        <w:ind w:left="0" w:right="0" w:firstLine="709"/>
        <w:jc w:val="center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Раздел «Межвед-запросы»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pStyle w:val="756"/>
        <w:ind w:left="0" w:right="0" w:firstLine="709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ab/>
      </w:r>
      <w:r>
        <w:rPr>
          <w:rFonts w:ascii="PT Astra Serif" w:hAnsi="PT Astra Serif" w:eastAsia="PT Astra Serif" w:cs="PT Astra Serif"/>
          <w:sz w:val="28"/>
          <w:szCs w:val="28"/>
        </w:rPr>
        <w:t xml:space="preserve">В разделе «Межвед-запросы» можно будет просмотреть ранее отправленные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«Межведомственные запросы» для получения дополнительных данных по заявлению (Рисунок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  <w:t xml:space="preserve">30).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18"/>
          <w:szCs w:val="18"/>
        </w:rPr>
      </w:pPr>
      <w:r>
        <w:rPr>
          <w:rFonts w:ascii="PT Astra Serif" w:hAnsi="PT Astra Serif" w:eastAsia="PT Astra Serif" w:cs="PT Astra Serif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0216" cy="3698748"/>
                <wp:effectExtent l="0" t="0" r="0" b="0"/>
                <wp:docPr id="30" name="_x0000_i115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1"/>
                        <a:stretch/>
                      </pic:blipFill>
                      <pic:spPr bwMode="auto">
                        <a:xfrm>
                          <a:off x="0" y="0"/>
                          <a:ext cx="6300216" cy="36987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9" o:spid="_x0000_s29" type="#_x0000_t75" style="width:496.08pt;height:291.24pt;mso-wrap-distance-left:0.00pt;mso-wrap-distance-top:0.00pt;mso-wrap-distance-right:0.00pt;mso-wrap-distance-bottom:0.00pt;z-index:1;" stroked="f">
                <v:imagedata r:id="rId41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18"/>
          <w:szCs w:val="18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18"/>
          <w:szCs w:val="18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Рисунок 30 – Раздел «Межвед - запросы»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18"/>
          <w:szCs w:val="1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В данном блоке отображаются все «Межведомственные запросы» отправленные, как автоматически (регламентные), так и ручным (самостоятельным) способом.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shd w:val="nil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  <w:br w:type="page" w:clear="all"/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pStyle w:val="756"/>
        <w:ind w:left="0" w:right="0" w:firstLine="709"/>
        <w:jc w:val="center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Блок «Завершенные операции»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pStyle w:val="756"/>
        <w:ind w:left="0" w:right="0" w:firstLine="709"/>
        <w:jc w:val="center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На вкладке «Завершенные операции» можно просмотреть подробную информацию обо всех завершенных или выполняемых событиях согласно основному процессу предоставления услуги (Рисунок 31).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Доступны следующие данные: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63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Наименование события;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63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Дата создания;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63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Исполнитель;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63"/>
        </w:numPr>
        <w:ind w:right="0"/>
        <w:jc w:val="both"/>
        <w:rPr>
          <w:rFonts w:ascii="PT Astra Serif" w:hAnsi="PT Astra Serif" w:eastAsia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Дата завершения.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18"/>
          <w:szCs w:val="18"/>
        </w:rPr>
      </w:pPr>
      <w:r>
        <w:rPr>
          <w:rFonts w:ascii="PT Astra Serif" w:hAnsi="PT Astra Serif" w:eastAsia="PT Astra Serif" w:cs="PT Astra Serif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1072" cy="4091940"/>
                <wp:effectExtent l="0" t="0" r="0" b="0"/>
                <wp:docPr id="31" name="_x0000_i115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2"/>
                        <a:stretch/>
                      </pic:blipFill>
                      <pic:spPr bwMode="auto">
                        <a:xfrm>
                          <a:off x="0" y="0"/>
                          <a:ext cx="6291072" cy="4091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0" o:spid="_x0000_s30" type="#_x0000_t75" style="width:495.36pt;height:322.20pt;mso-wrap-distance-left:0.00pt;mso-wrap-distance-top:0.00pt;mso-wrap-distance-right:0.00pt;mso-wrap-distance-bottom:0.00pt;z-index:1;" stroked="f">
                <v:imagedata r:id="rId42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18"/>
          <w:szCs w:val="18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18"/>
          <w:szCs w:val="18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Рисунок 31 – Блок «Завершенные операции»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18"/>
          <w:szCs w:val="1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shd w:val="nil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  <w:br w:type="page" w:clear="all"/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pStyle w:val="756"/>
        <w:ind w:left="0" w:right="0" w:firstLine="709"/>
        <w:jc w:val="center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Блок «История»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pStyle w:val="756"/>
        <w:ind w:left="0" w:right="0" w:firstLine="709"/>
        <w:jc w:val="center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На этой вкладке отображается полная история всех действий, совершенных в процессе создания и обработки заявления. 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Выводится следующая информация: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64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Время;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64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Дата;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64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Кто совершил действие;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numPr>
          <w:ilvl w:val="0"/>
          <w:numId w:val="64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Описание совершенного действия.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История отображается в обратном хронологическом порядке от новых к старым (старые внизу, новые вверху) (Рисунок 32).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18"/>
          <w:szCs w:val="18"/>
        </w:rPr>
      </w:pPr>
      <w:r>
        <w:rPr>
          <w:rFonts w:ascii="PT Astra Serif" w:hAnsi="PT Astra Serif" w:eastAsia="PT Astra Serif" w:cs="PT Astra Serif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5644" cy="3055874"/>
                <wp:effectExtent l="0" t="0" r="0" b="0"/>
                <wp:docPr id="32" name="_x0000_i115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3"/>
                        <a:stretch/>
                      </pic:blipFill>
                      <pic:spPr bwMode="auto">
                        <a:xfrm>
                          <a:off x="0" y="0"/>
                          <a:ext cx="6295644" cy="30558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1" o:spid="_x0000_s31" type="#_x0000_t75" style="width:495.72pt;height:240.62pt;mso-wrap-distance-left:0.00pt;mso-wrap-distance-top:0.00pt;mso-wrap-distance-right:0.00pt;mso-wrap-distance-bottom:0.00pt;z-index:1;" stroked="f">
                <v:imagedata r:id="rId43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18"/>
          <w:szCs w:val="18"/>
        </w:rPr>
      </w:r>
    </w:p>
    <w:p>
      <w:pPr>
        <w:pStyle w:val="756"/>
        <w:ind w:left="0" w:right="0" w:firstLine="0"/>
        <w:jc w:val="center"/>
        <w:rPr>
          <w:rFonts w:ascii="PT Astra Serif" w:hAnsi="PT Astra Serif" w:cs="PT Astra Serif"/>
          <w:sz w:val="18"/>
          <w:szCs w:val="18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Рисунок 32 – Блок «История» 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18"/>
          <w:szCs w:val="18"/>
        </w:rPr>
      </w:r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0" w:h="16840" w:orient="portrait"/>
      <w:pgMar w:top="679" w:right="1440" w:bottom="688" w:left="1440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409020205020404"/>
  </w:font>
  <w:font w:name="Symbol">
    <w:panose1 w:val="05010000000000000000"/>
  </w:font>
  <w:font w:name="PT Astra Serif">
    <w:panose1 w:val="020A0603040505020204"/>
  </w:font>
  <w:font w:name="Arial">
    <w:panose1 w:val="020B0604020202020204"/>
  </w:font>
  <w:font w:name="Segoe UI Symbol">
    <w:panose1 w:val="020B0502040504020204"/>
  </w:font>
  <w:font w:name="Wingdings">
    <w:panose1 w:val="05010000000000000000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5"/>
      <w:ind w:left="0" w:right="0" w:firstLine="0"/>
      <w:jc w:val="left"/>
      <w:spacing w:after="160" w:line="259" w:lineRule="auto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5"/>
      <w:ind w:left="0" w:right="0" w:firstLine="0"/>
      <w:jc w:val="left"/>
      <w:spacing w:after="160" w:line="259" w:lineRule="auto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5"/>
      <w:ind w:left="0" w:right="0" w:firstLine="0"/>
      <w:jc w:val="left"/>
      <w:spacing w:after="160" w:line="259" w:lineRule="auto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"/>
      <w:lvlJc w:val="left"/>
      <w:pPr>
        <w:ind w:left="1776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7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50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22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394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66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3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10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0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75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347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419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91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563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635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707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79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180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isLgl w:val="false"/>
      <w:suff w:val="tab"/>
      <w:lvlText w:val="%1.%2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decimal"/>
      <w:isLgl w:val="false"/>
      <w:suff w:val="tab"/>
      <w:lvlText w:val="%1.%2.%3"/>
      <w:lvlJc w:val="left"/>
      <w:pPr>
        <w:ind w:left="1377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193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265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37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409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481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553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6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14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86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58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30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502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74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46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18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59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9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68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40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12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84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56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28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00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1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"/>
      <w:lvlJc w:val="left"/>
      <w:pPr>
        <w:ind w:left="141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14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86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58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30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02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74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4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14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8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58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30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502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74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4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18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14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8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58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30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502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74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4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18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360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960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560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"/>
      <w:lvlJc w:val="left"/>
      <w:pPr>
        <w:ind w:left="2833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2880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3600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320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040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5760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14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8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58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30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502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74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4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18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•"/>
      <w:lvlJc w:val="left"/>
      <w:pPr>
        <w:ind w:left="2480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65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85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405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125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845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65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85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"/>
      <w:lvlJc w:val="left"/>
      <w:pPr>
        <w:ind w:left="1416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496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216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936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656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376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096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816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"/>
      <w:lvlJc w:val="left"/>
      <w:pPr>
        <w:ind w:left="17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86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5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30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502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74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46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1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93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65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372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09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81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532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25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97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14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8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58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30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502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74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4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18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14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8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58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30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502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74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4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18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1416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14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86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5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30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502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74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46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1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14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8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58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30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502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74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4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18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8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1">
      <w:start w:val="2"/>
      <w:numFmt w:val="decimal"/>
      <w:isLgl w:val="false"/>
      <w:suff w:val="tab"/>
      <w:lvlText w:val="%1.%2"/>
      <w:lvlJc w:val="left"/>
      <w:pPr>
        <w:ind w:left="786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2">
      <w:start w:val="4"/>
      <w:numFmt w:val="decimal"/>
      <w:isLgl w:val="false"/>
      <w:suff w:val="tab"/>
      <w:lvlText w:val="%1.%2.%3"/>
      <w:lvlJc w:val="left"/>
      <w:pPr>
        <w:ind w:left="1806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193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265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37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409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481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553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0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16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880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60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32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040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76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48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0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1">
      <w:start w:val="2"/>
      <w:numFmt w:val="decimal"/>
      <w:isLgl w:val="false"/>
      <w:suff w:val="tab"/>
      <w:lvlText w:val="%1.%2"/>
      <w:lvlJc w:val="left"/>
      <w:pPr>
        <w:ind w:left="786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decimal"/>
      <w:isLgl w:val="false"/>
      <w:suff w:val="tab"/>
      <w:lvlText w:val="%1.%2.%3"/>
      <w:lvlJc w:val="left"/>
      <w:pPr>
        <w:ind w:left="1265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193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265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37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409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481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553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-"/>
      <w:lvlJc w:val="left"/>
      <w:pPr>
        <w:ind w:left="84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78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50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22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394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66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38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10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174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93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65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372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09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81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532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25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97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•"/>
      <w:lvlJc w:val="left"/>
      <w:pPr>
        <w:ind w:left="2132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"/>
      <w:lvlJc w:val="left"/>
      <w:pPr>
        <w:ind w:left="2833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5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30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502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74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46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1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"/>
      <w:lvlJc w:val="left"/>
      <w:pPr>
        <w:ind w:left="17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86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5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30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502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74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46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1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1416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14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86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5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30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502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74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46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1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174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93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65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372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09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81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532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25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97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174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93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65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372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09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81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532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25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97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47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"/>
      <w:lvlJc w:val="left"/>
      <w:pPr>
        <w:ind w:left="1416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14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86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5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30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02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74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46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93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65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372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09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81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532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25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97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0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ascii="Courier New" w:hAnsi="Courier New" w:eastAsia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4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8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60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4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6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200" w:hanging="360"/>
      </w:pPr>
      <w:rPr>
        <w:rFonts w:hint="default" w:ascii="Wingdings" w:hAnsi="Wingdings" w:eastAsia="Wingdings" w:cs="Wingdings"/>
      </w:rPr>
    </w:lvl>
  </w:abstractNum>
  <w:abstractNum w:abstractNumId="4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216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8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60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4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6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200" w:hanging="360"/>
      </w:pPr>
      <w:rPr>
        <w:rFonts w:hint="default" w:ascii="Wingdings" w:hAnsi="Wingdings" w:eastAsia="Wingdings" w:cs="Wingdings"/>
      </w:rPr>
    </w:lvl>
  </w:abstractNum>
  <w:abstractNum w:abstractNumId="4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216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8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60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4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6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200" w:hanging="360"/>
      </w:pPr>
      <w:rPr>
        <w:rFonts w:hint="default" w:ascii="Wingdings" w:hAnsi="Wingdings" w:eastAsia="Wingdings" w:cs="Wingdings"/>
      </w:rPr>
    </w:lvl>
  </w:abstractNum>
  <w:abstractNum w:abstractNumId="4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216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8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60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4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6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200" w:hanging="360"/>
      </w:pPr>
      <w:rPr>
        <w:rFonts w:hint="default" w:ascii="Wingdings" w:hAnsi="Wingdings" w:eastAsia="Wingdings" w:cs="Wingdings"/>
      </w:rPr>
    </w:lvl>
  </w:abstractNum>
  <w:abstractNum w:abstractNumId="4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216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8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60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4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6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200" w:hanging="360"/>
      </w:pPr>
      <w:rPr>
        <w:rFonts w:hint="default" w:ascii="Wingdings" w:hAnsi="Wingdings" w:eastAsia="Wingdings" w:cs="Wingdings"/>
      </w:rPr>
    </w:lvl>
  </w:abstractNum>
  <w:abstractNum w:abstractNumId="4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8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5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8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8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18"/>
  </w:num>
  <w:num w:numId="3">
    <w:abstractNumId w:val="20"/>
  </w:num>
  <w:num w:numId="4">
    <w:abstractNumId w:val="24"/>
  </w:num>
  <w:num w:numId="5">
    <w:abstractNumId w:val="0"/>
  </w:num>
  <w:num w:numId="6">
    <w:abstractNumId w:val="21"/>
  </w:num>
  <w:num w:numId="7">
    <w:abstractNumId w:val="5"/>
  </w:num>
  <w:num w:numId="8">
    <w:abstractNumId w:val="22"/>
  </w:num>
  <w:num w:numId="9">
    <w:abstractNumId w:val="26"/>
  </w:num>
  <w:num w:numId="10">
    <w:abstractNumId w:val="7"/>
  </w:num>
  <w:num w:numId="11">
    <w:abstractNumId w:val="17"/>
  </w:num>
  <w:num w:numId="12">
    <w:abstractNumId w:val="25"/>
  </w:num>
  <w:num w:numId="13">
    <w:abstractNumId w:val="29"/>
  </w:num>
  <w:num w:numId="14">
    <w:abstractNumId w:val="10"/>
  </w:num>
  <w:num w:numId="15">
    <w:abstractNumId w:val="8"/>
  </w:num>
  <w:num w:numId="16">
    <w:abstractNumId w:val="9"/>
  </w:num>
  <w:num w:numId="17">
    <w:abstractNumId w:val="4"/>
  </w:num>
  <w:num w:numId="18">
    <w:abstractNumId w:val="6"/>
  </w:num>
  <w:num w:numId="19">
    <w:abstractNumId w:val="14"/>
  </w:num>
  <w:num w:numId="20">
    <w:abstractNumId w:val="11"/>
  </w:num>
  <w:num w:numId="21">
    <w:abstractNumId w:val="12"/>
  </w:num>
  <w:num w:numId="22">
    <w:abstractNumId w:val="19"/>
  </w:num>
  <w:num w:numId="23">
    <w:abstractNumId w:val="16"/>
  </w:num>
  <w:num w:numId="24">
    <w:abstractNumId w:val="13"/>
  </w:num>
  <w:num w:numId="25">
    <w:abstractNumId w:val="23"/>
  </w:num>
  <w:num w:numId="26">
    <w:abstractNumId w:val="15"/>
  </w:num>
  <w:num w:numId="27">
    <w:abstractNumId w:val="1"/>
  </w:num>
  <w:num w:numId="28">
    <w:abstractNumId w:val="27"/>
  </w:num>
  <w:num w:numId="29">
    <w:abstractNumId w:val="3"/>
  </w:num>
  <w:num w:numId="30">
    <w:abstractNumId w:val="28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45">
    <w:name w:val="Heading 5"/>
    <w:basedOn w:val="915"/>
    <w:next w:val="915"/>
    <w:link w:val="746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46">
    <w:name w:val="Heading 5 Char"/>
    <w:basedOn w:val="920"/>
    <w:link w:val="74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47">
    <w:name w:val="Heading 6"/>
    <w:basedOn w:val="915"/>
    <w:next w:val="915"/>
    <w:link w:val="748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48">
    <w:name w:val="Heading 6 Char"/>
    <w:basedOn w:val="920"/>
    <w:link w:val="74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49">
    <w:name w:val="Heading 7"/>
    <w:basedOn w:val="915"/>
    <w:next w:val="915"/>
    <w:link w:val="750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50">
    <w:name w:val="Heading 7 Char"/>
    <w:basedOn w:val="920"/>
    <w:link w:val="749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51">
    <w:name w:val="Heading 8"/>
    <w:basedOn w:val="915"/>
    <w:next w:val="915"/>
    <w:link w:val="752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52">
    <w:name w:val="Heading 8 Char"/>
    <w:basedOn w:val="920"/>
    <w:link w:val="751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53">
    <w:name w:val="Heading 9"/>
    <w:basedOn w:val="915"/>
    <w:next w:val="915"/>
    <w:link w:val="754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54">
    <w:name w:val="Heading 9 Char"/>
    <w:basedOn w:val="920"/>
    <w:link w:val="75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55">
    <w:name w:val="List Paragraph"/>
    <w:basedOn w:val="915"/>
    <w:uiPriority w:val="34"/>
    <w:qFormat/>
    <w:pPr>
      <w:contextualSpacing/>
      <w:ind w:left="720"/>
    </w:pPr>
  </w:style>
  <w:style w:type="paragraph" w:styleId="756">
    <w:name w:val="No Spacing"/>
    <w:uiPriority w:val="1"/>
    <w:qFormat/>
    <w:pPr>
      <w:spacing w:before="0" w:after="0" w:line="240" w:lineRule="auto"/>
    </w:pPr>
  </w:style>
  <w:style w:type="paragraph" w:styleId="757">
    <w:name w:val="Title"/>
    <w:basedOn w:val="915"/>
    <w:next w:val="915"/>
    <w:link w:val="75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58">
    <w:name w:val="Title Char"/>
    <w:basedOn w:val="920"/>
    <w:link w:val="757"/>
    <w:uiPriority w:val="10"/>
    <w:rPr>
      <w:sz w:val="48"/>
      <w:szCs w:val="48"/>
    </w:rPr>
  </w:style>
  <w:style w:type="paragraph" w:styleId="759">
    <w:name w:val="Subtitle"/>
    <w:basedOn w:val="915"/>
    <w:next w:val="915"/>
    <w:link w:val="760"/>
    <w:uiPriority w:val="11"/>
    <w:qFormat/>
    <w:pPr>
      <w:spacing w:before="200" w:after="200"/>
    </w:pPr>
    <w:rPr>
      <w:sz w:val="24"/>
      <w:szCs w:val="24"/>
    </w:rPr>
  </w:style>
  <w:style w:type="character" w:styleId="760">
    <w:name w:val="Subtitle Char"/>
    <w:basedOn w:val="920"/>
    <w:link w:val="759"/>
    <w:uiPriority w:val="11"/>
    <w:rPr>
      <w:sz w:val="24"/>
      <w:szCs w:val="24"/>
    </w:rPr>
  </w:style>
  <w:style w:type="paragraph" w:styleId="761">
    <w:name w:val="Quote"/>
    <w:basedOn w:val="915"/>
    <w:next w:val="915"/>
    <w:link w:val="762"/>
    <w:uiPriority w:val="29"/>
    <w:qFormat/>
    <w:pPr>
      <w:ind w:left="720" w:right="720"/>
    </w:pPr>
    <w:rPr>
      <w:i/>
    </w:rPr>
  </w:style>
  <w:style w:type="character" w:styleId="762">
    <w:name w:val="Quote Char"/>
    <w:link w:val="761"/>
    <w:uiPriority w:val="29"/>
    <w:rPr>
      <w:i/>
    </w:rPr>
  </w:style>
  <w:style w:type="paragraph" w:styleId="763">
    <w:name w:val="Intense Quote"/>
    <w:basedOn w:val="915"/>
    <w:next w:val="915"/>
    <w:link w:val="76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4">
    <w:name w:val="Intense Quote Char"/>
    <w:link w:val="763"/>
    <w:uiPriority w:val="30"/>
    <w:rPr>
      <w:i/>
    </w:rPr>
  </w:style>
  <w:style w:type="paragraph" w:styleId="765">
    <w:name w:val="Header"/>
    <w:basedOn w:val="915"/>
    <w:link w:val="76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66">
    <w:name w:val="Header Char"/>
    <w:basedOn w:val="920"/>
    <w:link w:val="765"/>
    <w:uiPriority w:val="99"/>
  </w:style>
  <w:style w:type="paragraph" w:styleId="767">
    <w:name w:val="Footer"/>
    <w:basedOn w:val="915"/>
    <w:link w:val="76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68">
    <w:name w:val="Footer Char"/>
    <w:basedOn w:val="920"/>
    <w:link w:val="767"/>
    <w:uiPriority w:val="99"/>
  </w:style>
  <w:style w:type="paragraph" w:styleId="769">
    <w:name w:val="Caption"/>
    <w:basedOn w:val="915"/>
    <w:next w:val="915"/>
    <w:link w:val="77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70">
    <w:name w:val="Caption Char"/>
    <w:basedOn w:val="920"/>
    <w:link w:val="769"/>
    <w:uiPriority w:val="35"/>
    <w:rPr>
      <w:b/>
      <w:bCs/>
      <w:color w:val="4f81bd" w:themeColor="accent1"/>
      <w:sz w:val="18"/>
      <w:szCs w:val="18"/>
    </w:rPr>
  </w:style>
  <w:style w:type="table" w:styleId="771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2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3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74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75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6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8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0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1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3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5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06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07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08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09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10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11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12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13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814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815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816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817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18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19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20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35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36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37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38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39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40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41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6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7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8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9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0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1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2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63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64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65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66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67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68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69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70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71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72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73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74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75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76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7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78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9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0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81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82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83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4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85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6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7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88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89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0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91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92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93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94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95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96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97">
    <w:name w:val="Hyperlink"/>
    <w:uiPriority w:val="99"/>
    <w:unhideWhenUsed/>
    <w:rPr>
      <w:color w:val="0000ff" w:themeColor="hyperlink"/>
      <w:u w:val="single"/>
    </w:rPr>
  </w:style>
  <w:style w:type="paragraph" w:styleId="898">
    <w:name w:val="footnote text"/>
    <w:basedOn w:val="915"/>
    <w:link w:val="899"/>
    <w:uiPriority w:val="99"/>
    <w:semiHidden/>
    <w:unhideWhenUsed/>
    <w:pPr>
      <w:spacing w:after="40" w:line="240" w:lineRule="auto"/>
    </w:pPr>
    <w:rPr>
      <w:sz w:val="18"/>
    </w:rPr>
  </w:style>
  <w:style w:type="character" w:styleId="899">
    <w:name w:val="Footnote Text Char"/>
    <w:link w:val="898"/>
    <w:uiPriority w:val="99"/>
    <w:rPr>
      <w:sz w:val="18"/>
    </w:rPr>
  </w:style>
  <w:style w:type="character" w:styleId="900">
    <w:name w:val="footnote reference"/>
    <w:basedOn w:val="920"/>
    <w:uiPriority w:val="99"/>
    <w:unhideWhenUsed/>
    <w:rPr>
      <w:vertAlign w:val="superscript"/>
    </w:rPr>
  </w:style>
  <w:style w:type="paragraph" w:styleId="901">
    <w:name w:val="endnote text"/>
    <w:basedOn w:val="915"/>
    <w:link w:val="902"/>
    <w:uiPriority w:val="99"/>
    <w:semiHidden/>
    <w:unhideWhenUsed/>
    <w:pPr>
      <w:spacing w:after="0" w:line="240" w:lineRule="auto"/>
    </w:pPr>
    <w:rPr>
      <w:sz w:val="20"/>
    </w:rPr>
  </w:style>
  <w:style w:type="character" w:styleId="902">
    <w:name w:val="Endnote Text Char"/>
    <w:link w:val="901"/>
    <w:uiPriority w:val="99"/>
    <w:rPr>
      <w:sz w:val="20"/>
    </w:rPr>
  </w:style>
  <w:style w:type="character" w:styleId="903">
    <w:name w:val="endnote reference"/>
    <w:basedOn w:val="920"/>
    <w:uiPriority w:val="99"/>
    <w:semiHidden/>
    <w:unhideWhenUsed/>
    <w:rPr>
      <w:vertAlign w:val="superscript"/>
    </w:rPr>
  </w:style>
  <w:style w:type="paragraph" w:styleId="904">
    <w:name w:val="toc 1"/>
    <w:basedOn w:val="915"/>
    <w:next w:val="915"/>
    <w:uiPriority w:val="39"/>
    <w:unhideWhenUsed/>
    <w:pPr>
      <w:ind w:left="0" w:right="0" w:firstLine="0"/>
      <w:spacing w:after="57"/>
    </w:pPr>
  </w:style>
  <w:style w:type="paragraph" w:styleId="905">
    <w:name w:val="toc 2"/>
    <w:basedOn w:val="915"/>
    <w:next w:val="915"/>
    <w:uiPriority w:val="39"/>
    <w:unhideWhenUsed/>
    <w:pPr>
      <w:ind w:left="283" w:right="0" w:firstLine="0"/>
      <w:spacing w:after="57"/>
    </w:pPr>
  </w:style>
  <w:style w:type="paragraph" w:styleId="906">
    <w:name w:val="toc 3"/>
    <w:basedOn w:val="915"/>
    <w:next w:val="915"/>
    <w:uiPriority w:val="39"/>
    <w:unhideWhenUsed/>
    <w:pPr>
      <w:ind w:left="567" w:right="0" w:firstLine="0"/>
      <w:spacing w:after="57"/>
    </w:pPr>
  </w:style>
  <w:style w:type="paragraph" w:styleId="907">
    <w:name w:val="toc 4"/>
    <w:basedOn w:val="915"/>
    <w:next w:val="915"/>
    <w:uiPriority w:val="39"/>
    <w:unhideWhenUsed/>
    <w:pPr>
      <w:ind w:left="850" w:right="0" w:firstLine="0"/>
      <w:spacing w:after="57"/>
    </w:pPr>
  </w:style>
  <w:style w:type="paragraph" w:styleId="908">
    <w:name w:val="toc 5"/>
    <w:basedOn w:val="915"/>
    <w:next w:val="915"/>
    <w:uiPriority w:val="39"/>
    <w:unhideWhenUsed/>
    <w:pPr>
      <w:ind w:left="1134" w:right="0" w:firstLine="0"/>
      <w:spacing w:after="57"/>
    </w:pPr>
  </w:style>
  <w:style w:type="paragraph" w:styleId="909">
    <w:name w:val="toc 6"/>
    <w:basedOn w:val="915"/>
    <w:next w:val="915"/>
    <w:uiPriority w:val="39"/>
    <w:unhideWhenUsed/>
    <w:pPr>
      <w:ind w:left="1417" w:right="0" w:firstLine="0"/>
      <w:spacing w:after="57"/>
    </w:pPr>
  </w:style>
  <w:style w:type="paragraph" w:styleId="910">
    <w:name w:val="toc 7"/>
    <w:basedOn w:val="915"/>
    <w:next w:val="915"/>
    <w:uiPriority w:val="39"/>
    <w:unhideWhenUsed/>
    <w:pPr>
      <w:ind w:left="1701" w:right="0" w:firstLine="0"/>
      <w:spacing w:after="57"/>
    </w:pPr>
  </w:style>
  <w:style w:type="paragraph" w:styleId="911">
    <w:name w:val="toc 8"/>
    <w:basedOn w:val="915"/>
    <w:next w:val="915"/>
    <w:uiPriority w:val="39"/>
    <w:unhideWhenUsed/>
    <w:pPr>
      <w:ind w:left="1984" w:right="0" w:firstLine="0"/>
      <w:spacing w:after="57"/>
    </w:pPr>
  </w:style>
  <w:style w:type="paragraph" w:styleId="912">
    <w:name w:val="toc 9"/>
    <w:basedOn w:val="915"/>
    <w:next w:val="915"/>
    <w:uiPriority w:val="39"/>
    <w:unhideWhenUsed/>
    <w:pPr>
      <w:ind w:left="2268" w:right="0" w:firstLine="0"/>
      <w:spacing w:after="57"/>
    </w:pPr>
  </w:style>
  <w:style w:type="paragraph" w:styleId="913">
    <w:name w:val="TOC Heading"/>
    <w:uiPriority w:val="39"/>
    <w:unhideWhenUsed/>
  </w:style>
  <w:style w:type="paragraph" w:styleId="914">
    <w:name w:val="table of figures"/>
    <w:basedOn w:val="915"/>
    <w:next w:val="915"/>
    <w:uiPriority w:val="99"/>
    <w:unhideWhenUsed/>
    <w:pPr>
      <w:spacing w:after="0" w:afterAutospacing="0"/>
    </w:pPr>
  </w:style>
  <w:style w:type="paragraph" w:styleId="915" w:default="1">
    <w:name w:val="Normal"/>
    <w:next w:val="915"/>
    <w:link w:val="915"/>
    <w:qFormat/>
    <w:pPr>
      <w:ind w:left="10" w:right="778" w:hanging="10"/>
      <w:jc w:val="both"/>
      <w:spacing w:after="5" w:line="249" w:lineRule="auto"/>
    </w:pPr>
    <w:rPr>
      <w:rFonts w:ascii="Times New Roman" w:hAnsi="Times New Roman"/>
      <w:color w:val="000000"/>
      <w:sz w:val="24"/>
      <w:szCs w:val="22"/>
      <w:lang w:val="en-US" w:eastAsia="en-US" w:bidi="ar-SA"/>
    </w:rPr>
  </w:style>
  <w:style w:type="paragraph" w:styleId="916">
    <w:name w:val="Heading 1"/>
    <w:next w:val="915"/>
    <w:link w:val="925"/>
    <w:uiPriority w:val="9"/>
    <w:unhideWhenUsed/>
    <w:qFormat/>
    <w:pPr>
      <w:ind w:left="10" w:hanging="10"/>
      <w:keepLines/>
      <w:keepNext/>
      <w:spacing w:after="447" w:line="265" w:lineRule="auto"/>
      <w:outlineLvl w:val="0"/>
    </w:pPr>
    <w:rPr>
      <w:rFonts w:ascii="Times New Roman" w:hAnsi="Times New Roman"/>
      <w:b/>
      <w:color w:val="000000"/>
      <w:sz w:val="28"/>
      <w:szCs w:val="22"/>
      <w:lang w:val="en-US" w:eastAsia="en-US" w:bidi="ar-SA"/>
    </w:rPr>
  </w:style>
  <w:style w:type="paragraph" w:styleId="917">
    <w:name w:val="Heading 2"/>
    <w:next w:val="915"/>
    <w:link w:val="926"/>
    <w:uiPriority w:val="9"/>
    <w:unhideWhenUsed/>
    <w:qFormat/>
    <w:pPr>
      <w:ind w:left="10" w:right="681" w:hanging="10"/>
      <w:keepLines/>
      <w:keepNext/>
      <w:spacing w:after="346" w:line="265" w:lineRule="auto"/>
      <w:outlineLvl w:val="1"/>
    </w:pPr>
    <w:rPr>
      <w:rFonts w:ascii="Times New Roman" w:hAnsi="Times New Roman"/>
      <w:b/>
      <w:color w:val="000000"/>
      <w:sz w:val="24"/>
      <w:szCs w:val="22"/>
      <w:lang w:val="en-US" w:eastAsia="en-US" w:bidi="ar-SA"/>
    </w:rPr>
  </w:style>
  <w:style w:type="paragraph" w:styleId="918">
    <w:name w:val="Heading 3"/>
    <w:next w:val="915"/>
    <w:link w:val="923"/>
    <w:uiPriority w:val="9"/>
    <w:unhideWhenUsed/>
    <w:qFormat/>
    <w:pPr>
      <w:ind w:left="10" w:right="681" w:hanging="10"/>
      <w:keepLines/>
      <w:keepNext/>
      <w:spacing w:after="346" w:line="265" w:lineRule="auto"/>
      <w:outlineLvl w:val="2"/>
    </w:pPr>
    <w:rPr>
      <w:rFonts w:ascii="Times New Roman" w:hAnsi="Times New Roman"/>
      <w:b/>
      <w:color w:val="000000"/>
      <w:sz w:val="24"/>
      <w:szCs w:val="22"/>
      <w:lang w:val="en-US" w:eastAsia="en-US" w:bidi="ar-SA"/>
    </w:rPr>
  </w:style>
  <w:style w:type="paragraph" w:styleId="919">
    <w:name w:val="Heading 4"/>
    <w:next w:val="915"/>
    <w:link w:val="924"/>
    <w:uiPriority w:val="9"/>
    <w:unhideWhenUsed/>
    <w:qFormat/>
    <w:pPr>
      <w:ind w:left="10" w:right="681" w:hanging="10"/>
      <w:keepLines/>
      <w:keepNext/>
      <w:spacing w:after="346" w:line="265" w:lineRule="auto"/>
      <w:outlineLvl w:val="3"/>
    </w:pPr>
    <w:rPr>
      <w:rFonts w:ascii="Times New Roman" w:hAnsi="Times New Roman"/>
      <w:b/>
      <w:color w:val="000000"/>
      <w:sz w:val="24"/>
      <w:szCs w:val="22"/>
      <w:lang w:val="en-US" w:eastAsia="en-US" w:bidi="ar-SA"/>
    </w:rPr>
  </w:style>
  <w:style w:type="character" w:styleId="920" w:default="1">
    <w:name w:val="Default Paragraph Font"/>
    <w:next w:val="920"/>
    <w:link w:val="915"/>
    <w:uiPriority w:val="1"/>
    <w:semiHidden/>
    <w:unhideWhenUsed/>
  </w:style>
  <w:style w:type="table" w:styleId="921">
    <w:name w:val="Table Normal"/>
    <w:next w:val="921"/>
    <w:link w:val="915"/>
    <w:uiPriority w:val="99"/>
    <w:semiHidden/>
    <w:unhideWhenUsed/>
    <w:tblPr>
      <w:tblW w:w="0" w:type="auto"/>
      <w:tblInd w:w="0" w:type="dxa"/>
      <w:tblLayout w:type="fixed"/>
      <w:tblCellMar>
        <w:left w:w="108" w:type="dxa"/>
        <w:top w:w="0" w:type="dxa"/>
        <w:right w:w="108" w:type="dxa"/>
        <w:bottom w:w="0" w:type="dxa"/>
      </w:tblCellMar>
    </w:tblPr>
  </w:style>
  <w:style w:type="numbering" w:styleId="922" w:default="1">
    <w:name w:val="No List"/>
    <w:next w:val="922"/>
    <w:link w:val="915"/>
    <w:uiPriority w:val="99"/>
    <w:semiHidden/>
    <w:unhideWhenUsed/>
  </w:style>
  <w:style w:type="character" w:styleId="923">
    <w:name w:val="Heading 3 Char"/>
    <w:next w:val="923"/>
    <w:link w:val="918"/>
    <w:uiPriority w:val="9"/>
    <w:rPr>
      <w:rFonts w:ascii="Times New Roman" w:hAnsi="Times New Roman" w:eastAsia="Times New Roman" w:cs="Times New Roman"/>
      <w:b/>
      <w:color w:val="000000"/>
      <w:sz w:val="24"/>
    </w:rPr>
  </w:style>
  <w:style w:type="character" w:styleId="924">
    <w:name w:val="Heading 4 Char"/>
    <w:next w:val="924"/>
    <w:link w:val="919"/>
    <w:uiPriority w:val="9"/>
    <w:rPr>
      <w:rFonts w:ascii="Times New Roman" w:hAnsi="Times New Roman" w:eastAsia="Times New Roman" w:cs="Times New Roman"/>
      <w:b/>
      <w:color w:val="000000"/>
      <w:sz w:val="24"/>
    </w:rPr>
  </w:style>
  <w:style w:type="character" w:styleId="925">
    <w:name w:val="Heading 1 Char"/>
    <w:next w:val="925"/>
    <w:link w:val="916"/>
    <w:uiPriority w:val="9"/>
    <w:rPr>
      <w:rFonts w:ascii="Times New Roman" w:hAnsi="Times New Roman" w:eastAsia="Times New Roman" w:cs="Times New Roman"/>
      <w:b/>
      <w:color w:val="000000"/>
      <w:sz w:val="28"/>
    </w:rPr>
  </w:style>
  <w:style w:type="character" w:styleId="926">
    <w:name w:val="Heading 2 Char"/>
    <w:next w:val="926"/>
    <w:link w:val="917"/>
    <w:uiPriority w:val="9"/>
    <w:rPr>
      <w:rFonts w:ascii="Times New Roman" w:hAnsi="Times New Roman" w:eastAsia="Times New Roman" w:cs="Times New Roman"/>
      <w:b/>
      <w:color w:val="000000"/>
      <w:sz w:val="24"/>
    </w:rPr>
  </w:style>
  <w:style w:type="table" w:styleId="927">
    <w:name w:val="TableGrid1"/>
    <w:next w:val="927"/>
    <w:link w:val="915"/>
    <w:rPr>
      <w:sz w:val="22"/>
      <w:szCs w:val="22"/>
      <w:lang w:val="en-US" w:eastAsia="en-US" w:bidi="ar-SA"/>
    </w:rPr>
    <w:tblPr>
      <w:tblW w:w="0" w:type="auto"/>
      <w:tblLayout w:type="fixed"/>
    </w:tblPr>
  </w:style>
  <w:style w:type="table" w:styleId="928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>Organization</Company>
  <DocSecurity>4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word2</dc:creator>
  <cp:lastModifiedBy>vvn</cp:lastModifiedBy>
  <cp:revision>5</cp:revision>
  <dcterms:created xsi:type="dcterms:W3CDTF">2026-10-30T03:50:00Z</dcterms:created>
  <dcterms:modified xsi:type="dcterms:W3CDTF">2026-11-03T08:09:43Z</dcterms:modified>
  <cp:version>1048576</cp:version>
</cp:coreProperties>
</file>